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Regional Vice President Update</w:t>
      </w:r>
    </w:p>
    <w:p>
      <w:pPr>
        <w:spacing w:after="160"/>
      </w:pPr>
      <w:r>
        <w:rPr>
          <w:sz w:val="24"/>
        </w:rPr>
        <w:t>September 2026 • Five Minute Presentation</w:t>
      </w:r>
    </w:p>
    <w:p>
      <w:pPr>
        <w:spacing w:after="240"/>
      </w:pPr>
      <w:r>
        <w:rPr>
          <w:i/>
          <w:sz w:val="22"/>
        </w:rPr>
        <w:t>Presenter note: If speaking after September 30, describe the September deadlines as having closed.</w:t>
      </w:r>
    </w:p>
    <w:p>
      <w:pPr>
        <w:pStyle w:val="Heading1"/>
      </w:pPr>
      <w:r>
        <w:t>Texas Advocacy and Participation</w:t>
      </w:r>
    </w:p>
    <w:p>
      <w:pPr>
        <w:spacing w:after="200"/>
      </w:pPr>
      <w:r>
        <w:rPr>
          <w:b/>
          <w:sz w:val="22"/>
        </w:rPr>
        <w:t>0:00–1:15  |  Elapsed Time</w:t>
      </w:r>
    </w:p>
    <w:p>
      <w:r>
        <w:t>Thank you for joining us. Here are the September Texas REALTORS® and NAR updates that affect our businesses, clients, and association participation.</w:t>
      </w:r>
    </w:p>
    <w:p>
      <w:r>
        <w:t>First, please check your voter registration. October 5 is the deadline to register or update your registration for the November election. Early voting begins October 19, and Election Day is November 3. You can also review REALTOR®-supported candidates at texasrealtorssupport.com.</w:t>
      </w:r>
    </w:p>
    <w:p>
      <w:r>
        <w:t>Texas REALTORS® is participating in legislative hearings and working with policymakers on rising insurance costs. Save April 7, 2027, for REALTOR® Day at the Texas Capitol, when we can bring local concerns directly to elected officials.</w:t>
      </w:r>
    </w:p>
    <w:p>
      <w:r>
        <w:t>For members with 2027 committee appointments, September 30 is the acceptance deadline. That date also closes the TREPAC year and nominations for the Spirit of TREPAC and Heart of TREPAC awards.</w:t>
      </w:r>
    </w:p>
    <w:p>
      <w:r>
        <w:br w:type="page"/>
      </w:r>
    </w:p>
    <w:p>
      <w:pPr>
        <w:pStyle w:val="Heading1"/>
      </w:pPr>
      <w:r>
        <w:t>Governance and Practice Resources</w:t>
      </w:r>
    </w:p>
    <w:p>
      <w:pPr>
        <w:spacing w:after="200"/>
      </w:pPr>
      <w:r>
        <w:rPr>
          <w:b/>
          <w:sz w:val="22"/>
        </w:rPr>
        <w:t>1:15–2:30  |  Elapsed Time</w:t>
      </w:r>
    </w:p>
    <w:p>
      <w:r>
        <w:t>On governance, the Executive Board has approved the Governance Review report. The legal team is preparing supporting bylaws amendments for a Board of Directors vote in February. Texas REALTORS® is also working with local associations on districts within regions. The handout links to the proposal for anyone who wants to review it.</w:t>
      </w:r>
    </w:p>
    <w:p>
      <w:r>
        <w:t>Next, several resources can help you in day-to-day practice. Updated Spanish and Vietnamese translations are available for ten forms, including listing agreements, buyer representation agreements, and disclosure documents. These translations help explain the documents to consumers; they are for information only and do not replace the English versions.</w:t>
      </w:r>
    </w:p>
    <w:p>
      <w:r>
        <w:t>Brokers can watch the September 25 webinar on changes to the Uniform Appraisal Dataset. There is also an October 5 webinar on TREC’s new water disclosure form. Both links are in the handout, along with Code of Ethics, fair housing, and assistance-animal training opportunities.</w:t>
      </w:r>
    </w:p>
    <w:p>
      <w:r>
        <w:br w:type="page"/>
      </w:r>
    </w:p>
    <w:p>
      <w:pPr>
        <w:pStyle w:val="Heading1"/>
      </w:pPr>
      <w:r>
        <w:t>Safety Technology and Housing</w:t>
      </w:r>
    </w:p>
    <w:p>
      <w:pPr>
        <w:spacing w:after="200"/>
      </w:pPr>
      <w:r>
        <w:rPr>
          <w:b/>
          <w:sz w:val="22"/>
        </w:rPr>
        <w:t>2:30–3:45  |  Elapsed Time</w:t>
      </w:r>
    </w:p>
    <w:p>
      <w:r>
        <w:t>Safety remains a priority. Texas REALTORS® offered practical safety training during September, and NAR has a new consumer guide on buyer safety during home showings. Please consider sharing the consumer guide with clients and reviewing safety procedures with your team.</w:t>
      </w:r>
    </w:p>
    <w:p>
      <w:r>
        <w:t>For technology, RPR Mobile offers an AI comparative market analysis tool at no additional cost with NAR membership. RPR also has a reports widget that brokers can embed on their websites to connect prospective clients with local information.</w:t>
      </w:r>
    </w:p>
    <w:p>
      <w:r>
        <w:t>Texasrealestate.com now has a mobile-first design and AI-enabled search, with more improvements planned. The handout also links to a new banking benefit through Amplify Credit Union and an Attorney General alert about scam letters alleging website privacy violations.</w:t>
      </w:r>
    </w:p>
    <w:p>
      <w:r>
        <w:t>At the national level, housing supply and affordability remain central advocacy priorities. NAR is working on implementation of the 21st Century ROAD to Housing Act and continues to support the More Homes on the Market Act, which would increase the home equity tax exclusion to help owners move and bring more homes onto the market.</w:t>
      </w:r>
    </w:p>
    <w:p>
      <w:r>
        <w:br w:type="page"/>
      </w:r>
    </w:p>
    <w:p>
      <w:pPr>
        <w:pStyle w:val="Heading1"/>
      </w:pPr>
      <w:r>
        <w:t>National Priorities and Next Steps</w:t>
      </w:r>
    </w:p>
    <w:p>
      <w:pPr>
        <w:spacing w:after="200"/>
      </w:pPr>
      <w:r>
        <w:rPr>
          <w:b/>
          <w:sz w:val="22"/>
        </w:rPr>
        <w:t>3:45–5:00  |  Elapsed Time</w:t>
      </w:r>
    </w:p>
    <w:p>
      <w:r>
        <w:t>NAR is also advocating for health coverage options for self-employed professionals. The Department of Labor is developing a proposed rule that could create a pathway to Association Health Plans. This remains a proposal under development, so members should watch for further updates.</w:t>
      </w:r>
    </w:p>
    <w:p>
      <w:r>
        <w:t>For brokers and agents, NAR has new guidance on office-exclusive listings, pre-marketing, listing displays, broker-to-broker communications, and Coming Soon listings. Review these resources with your broker and your MLS when questions arise about how the policies apply to your business.</w:t>
      </w:r>
    </w:p>
    <w:p>
      <w:r>
        <w:t>There are also opportunities to build your skills and leadership network. The Texas YPN Leadership Launchpad is October 19 in Round Rock. NAR NXT is November 6 through 9 in New Orleans, and the handout includes registration links and several October webinars.</w:t>
      </w:r>
    </w:p>
    <w:p>
      <w:r>
        <w:t>Before you leave, please use the handout to check your voting dates, choose a resource or training opportunity that fits your business, and share useful information with your colleagues. Please bring your questions and local concerns to your RVP so they can be part of the regional conversation. Thank you.</w:t>
      </w:r>
    </w:p>
    <w:sectPr w:rsidR="00FC693F" w:rsidRPr="0006063C" w:rsidSect="00034616">
      <w:headerReference w:type="default" r:id="rId9"/>
      <w:footerReference w:type="default" r:id="rId10"/>
      <w:pgSz w:w="12240" w:h="15840"/>
      <w:pgMar w:top="864"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160"/>
    </w:pPr>
    <w:r>
      <w:rPr>
        <w:color w:val="003057"/>
        <w:sz w:val="20"/>
      </w:rPr>
      <w:t xml:space="preserve">September 2026  |  RVP Talking Points                                       </w:t>
    </w:r>
    <w:fldSimple w:instr="PAGE">
      <w:r>
        <w:rPr>
          <w:sz w:val="20"/>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240"/>
    </w:pPr>
    <w:r>
      <w:drawing>
        <wp:inline xmlns:a="http://schemas.openxmlformats.org/drawingml/2006/main" xmlns:pic="http://schemas.openxmlformats.org/drawingml/2006/picture">
          <wp:extent cx="2468880" cy="326833"/>
          <wp:docPr id="1" name="Picture 1"/>
          <wp:cNvGraphicFramePr>
            <a:graphicFrameLocks noChangeAspect="1"/>
          </wp:cNvGraphicFramePr>
          <a:graphic>
            <a:graphicData uri="http://schemas.openxmlformats.org/drawingml/2006/picture">
              <pic:pic>
                <pic:nvPicPr>
                  <pic:cNvPr id="0" name="TxREALTORS_Logo_ExtHoriz_RGB (3).jpg"/>
                  <pic:cNvPicPr/>
                </pic:nvPicPr>
                <pic:blipFill>
                  <a:blip r:embed="rId1"/>
                  <a:stretch>
                    <a:fillRect/>
                  </a:stretch>
                </pic:blipFill>
                <pic:spPr>
                  <a:xfrm>
                    <a:off x="0" y="0"/>
                    <a:ext cx="2468880" cy="32683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280"/>
    </w:pPr>
    <w:rPr>
      <w:rFonts w:ascii="Arial" w:hAnsi="Arial"/>
      <w:sz w:val="3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00"/>
      <w:outlineLvl w:val="0"/>
    </w:pPr>
    <w:rPr>
      <w:rFonts w:asciiTheme="majorHAnsi" w:eastAsiaTheme="majorEastAsia" w:hAnsiTheme="majorHAnsi" w:cstheme="majorBidi" w:ascii="Arial" w:hAnsi="Arial"/>
      <w:b/>
      <w:bCs/>
      <w:color w:val="003057"/>
      <w:sz w:val="40"/>
      <w:szCs w:val="28"/>
    </w:rPr>
  </w:style>
  <w:style w:type="paragraph" w:styleId="Heading2">
    <w:name w:val="heading 2"/>
    <w:basedOn w:val="Normal"/>
    <w:next w:val="Normal"/>
    <w:link w:val="Heading2Char"/>
    <w:uiPriority w:val="9"/>
    <w:unhideWhenUsed/>
    <w:qFormat/>
    <w:rsid w:val="00FC693F"/>
    <w:pPr>
      <w:keepNext/>
      <w:keepLines/>
      <w:spacing w:before="200" w:after="200"/>
      <w:outlineLvl w:val="1"/>
    </w:pPr>
    <w:rPr>
      <w:rFonts w:asciiTheme="majorHAnsi" w:eastAsiaTheme="majorEastAsia" w:hAnsiTheme="majorHAnsi" w:cstheme="majorBidi" w:ascii="Arial" w:hAnsi="Arial"/>
      <w:b/>
      <w:bCs/>
      <w:color w:val="0030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